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9AC88">
      <w:pPr>
        <w:spacing w:line="440" w:lineRule="exact"/>
        <w:ind w:firstLine="684" w:firstLineChars="171"/>
        <w:rPr>
          <w:rFonts w:hint="default" w:ascii="宋体" w:hAnsi="宋体" w:eastAsia="宋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宋体" w:hAnsi="宋体" w:cs="Times New Roman"/>
          <w:color w:val="auto"/>
          <w:sz w:val="40"/>
          <w:szCs w:val="40"/>
          <w:highlight w:val="none"/>
          <w:lang w:val="en-US" w:eastAsia="zh-CN"/>
        </w:rPr>
        <w:t>技术指标</w:t>
      </w:r>
      <w:bookmarkStart w:id="0" w:name="_GoBack"/>
      <w:bookmarkEnd w:id="0"/>
    </w:p>
    <w:p w14:paraId="29FC5471">
      <w:pPr>
        <w:spacing w:line="440" w:lineRule="exact"/>
        <w:ind w:firstLine="359" w:firstLineChars="171"/>
        <w:rPr>
          <w:rFonts w:hint="default" w:ascii="宋体" w:hAnsi="宋体" w:eastAsia="宋体" w:cs="Times New Roman"/>
          <w:color w:val="auto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zCs w:val="21"/>
          <w:highlight w:val="none"/>
          <w:lang w:val="en-US" w:eastAsia="zh-CN"/>
        </w:rPr>
        <w:t>（1）应满足GB/T 1706-2006《二氧化钛颜料》R2型性能要求</w:t>
      </w:r>
    </w:p>
    <w:p w14:paraId="2D2BC7EE">
      <w:pPr>
        <w:spacing w:line="440" w:lineRule="exact"/>
        <w:ind w:firstLine="359" w:firstLineChars="171"/>
        <w:rPr>
          <w:rFonts w:hint="default" w:ascii="宋体" w:hAnsi="宋体" w:eastAsia="宋体" w:cs="Times New Roman"/>
          <w:color w:val="auto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zCs w:val="21"/>
          <w:highlight w:val="none"/>
          <w:lang w:val="en-US" w:eastAsia="zh-CN"/>
        </w:rPr>
        <w:t>（2）并满足以下要求：</w:t>
      </w: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785"/>
        <w:gridCol w:w="785"/>
        <w:gridCol w:w="2150"/>
        <w:gridCol w:w="1835"/>
        <w:gridCol w:w="1182"/>
        <w:gridCol w:w="1100"/>
      </w:tblGrid>
      <w:tr w14:paraId="6BD8D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27" w:type="pct"/>
            <w:noWrap w:val="0"/>
            <w:vAlign w:val="center"/>
          </w:tcPr>
          <w:p w14:paraId="12108BC0">
            <w:pPr>
              <w:spacing w:line="440" w:lineRule="exact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855" w:type="pct"/>
            <w:gridSpan w:val="2"/>
            <w:noWrap w:val="0"/>
            <w:vAlign w:val="center"/>
          </w:tcPr>
          <w:p w14:paraId="5F0454C1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指标</w:t>
            </w:r>
          </w:p>
        </w:tc>
        <w:tc>
          <w:tcPr>
            <w:tcW w:w="1172" w:type="pct"/>
            <w:noWrap w:val="0"/>
            <w:vAlign w:val="center"/>
          </w:tcPr>
          <w:p w14:paraId="3795D210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测试方法</w:t>
            </w:r>
          </w:p>
        </w:tc>
        <w:tc>
          <w:tcPr>
            <w:tcW w:w="1000" w:type="pct"/>
            <w:noWrap w:val="0"/>
            <w:vAlign w:val="center"/>
          </w:tcPr>
          <w:p w14:paraId="6D0DC840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测试条件</w:t>
            </w:r>
          </w:p>
        </w:tc>
        <w:tc>
          <w:tcPr>
            <w:tcW w:w="943" w:type="pct"/>
            <w:noWrap w:val="0"/>
            <w:vAlign w:val="center"/>
          </w:tcPr>
          <w:p w14:paraId="2BB52906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指标要求</w:t>
            </w:r>
          </w:p>
        </w:tc>
        <w:tc>
          <w:tcPr>
            <w:tcW w:w="599" w:type="pct"/>
            <w:noWrap w:val="0"/>
            <w:vAlign w:val="center"/>
          </w:tcPr>
          <w:p w14:paraId="5131B327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单位</w:t>
            </w:r>
          </w:p>
        </w:tc>
      </w:tr>
      <w:tr w14:paraId="046C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7" w:type="pct"/>
            <w:noWrap w:val="0"/>
            <w:vAlign w:val="center"/>
          </w:tcPr>
          <w:p w14:paraId="21AC7745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55" w:type="pct"/>
            <w:gridSpan w:val="2"/>
            <w:noWrap w:val="0"/>
            <w:vAlign w:val="center"/>
          </w:tcPr>
          <w:p w14:paraId="7A15B4FB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外观</w:t>
            </w:r>
          </w:p>
        </w:tc>
        <w:tc>
          <w:tcPr>
            <w:tcW w:w="1172" w:type="pct"/>
            <w:noWrap w:val="0"/>
            <w:vAlign w:val="center"/>
          </w:tcPr>
          <w:p w14:paraId="2F93A9A0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目视</w:t>
            </w:r>
          </w:p>
        </w:tc>
        <w:tc>
          <w:tcPr>
            <w:tcW w:w="1000" w:type="pct"/>
            <w:noWrap w:val="0"/>
            <w:vAlign w:val="center"/>
          </w:tcPr>
          <w:p w14:paraId="20830F56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自然光</w:t>
            </w:r>
          </w:p>
        </w:tc>
        <w:tc>
          <w:tcPr>
            <w:tcW w:w="943" w:type="pct"/>
            <w:noWrap w:val="0"/>
            <w:vAlign w:val="center"/>
          </w:tcPr>
          <w:p w14:paraId="2C0BC899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白色粉末，无包装破损、雨淋、结块等缺陷，</w:t>
            </w:r>
          </w:p>
          <w:p w14:paraId="128EEDA3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标识清晰无误</w:t>
            </w:r>
          </w:p>
        </w:tc>
        <w:tc>
          <w:tcPr>
            <w:tcW w:w="599" w:type="pct"/>
            <w:noWrap w:val="0"/>
            <w:vAlign w:val="center"/>
          </w:tcPr>
          <w:p w14:paraId="12CFF3A8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52D2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27" w:type="pct"/>
            <w:noWrap w:val="0"/>
            <w:vAlign w:val="center"/>
          </w:tcPr>
          <w:p w14:paraId="2EB6DF5B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855" w:type="pct"/>
            <w:gridSpan w:val="2"/>
            <w:noWrap w:val="0"/>
            <w:vAlign w:val="center"/>
          </w:tcPr>
          <w:p w14:paraId="39D97F3C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挥发分</w:t>
            </w:r>
          </w:p>
        </w:tc>
        <w:tc>
          <w:tcPr>
            <w:tcW w:w="1172" w:type="pct"/>
            <w:noWrap w:val="0"/>
            <w:vAlign w:val="center"/>
          </w:tcPr>
          <w:p w14:paraId="5A67C9B2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GB/T5211.3-2020</w:t>
            </w:r>
          </w:p>
        </w:tc>
        <w:tc>
          <w:tcPr>
            <w:tcW w:w="1000" w:type="pct"/>
            <w:noWrap w:val="0"/>
            <w:vAlign w:val="center"/>
          </w:tcPr>
          <w:p w14:paraId="365D5556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A法，105℃，2h</w:t>
            </w:r>
          </w:p>
        </w:tc>
        <w:tc>
          <w:tcPr>
            <w:tcW w:w="943" w:type="pct"/>
            <w:noWrap w:val="0"/>
            <w:vAlign w:val="center"/>
          </w:tcPr>
          <w:p w14:paraId="0580A797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≤1</w:t>
            </w:r>
          </w:p>
        </w:tc>
        <w:tc>
          <w:tcPr>
            <w:tcW w:w="599" w:type="pct"/>
            <w:noWrap w:val="0"/>
            <w:vAlign w:val="center"/>
          </w:tcPr>
          <w:p w14:paraId="593D8B2D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%</w:t>
            </w:r>
          </w:p>
        </w:tc>
      </w:tr>
      <w:tr w14:paraId="6C49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27" w:type="pct"/>
            <w:noWrap w:val="0"/>
            <w:vAlign w:val="center"/>
          </w:tcPr>
          <w:p w14:paraId="0BF29152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855" w:type="pct"/>
            <w:gridSpan w:val="2"/>
            <w:noWrap w:val="0"/>
            <w:vAlign w:val="center"/>
          </w:tcPr>
          <w:p w14:paraId="3DC71F3C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过筛率</w:t>
            </w:r>
          </w:p>
        </w:tc>
        <w:tc>
          <w:tcPr>
            <w:tcW w:w="1172" w:type="pct"/>
            <w:noWrap w:val="0"/>
            <w:vAlign w:val="center"/>
          </w:tcPr>
          <w:p w14:paraId="4F90DBBD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筛网</w:t>
            </w:r>
          </w:p>
        </w:tc>
        <w:tc>
          <w:tcPr>
            <w:tcW w:w="1000" w:type="pct"/>
            <w:noWrap w:val="0"/>
            <w:vAlign w:val="center"/>
          </w:tcPr>
          <w:p w14:paraId="7918E0E8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325目（45μm）</w:t>
            </w:r>
          </w:p>
        </w:tc>
        <w:tc>
          <w:tcPr>
            <w:tcW w:w="943" w:type="pct"/>
            <w:noWrap w:val="0"/>
            <w:vAlign w:val="center"/>
          </w:tcPr>
          <w:p w14:paraId="3DBF1036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&gt;99.5</w:t>
            </w:r>
          </w:p>
        </w:tc>
        <w:tc>
          <w:tcPr>
            <w:tcW w:w="599" w:type="pct"/>
            <w:noWrap w:val="0"/>
            <w:vAlign w:val="center"/>
          </w:tcPr>
          <w:p w14:paraId="786BAADD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%</w:t>
            </w:r>
          </w:p>
        </w:tc>
      </w:tr>
      <w:tr w14:paraId="693B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7" w:type="pct"/>
            <w:vMerge w:val="restart"/>
            <w:noWrap w:val="0"/>
            <w:vAlign w:val="center"/>
          </w:tcPr>
          <w:p w14:paraId="316D5218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27" w:type="pct"/>
            <w:vMerge w:val="restart"/>
            <w:noWrap w:val="0"/>
            <w:vAlign w:val="center"/>
          </w:tcPr>
          <w:p w14:paraId="783C2B0E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颜色均匀性</w:t>
            </w:r>
          </w:p>
          <w:p w14:paraId="3268F9A0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27" w:type="pct"/>
            <w:noWrap w:val="0"/>
            <w:vAlign w:val="center"/>
          </w:tcPr>
          <w:p w14:paraId="07AB7868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批次间</w:t>
            </w:r>
          </w:p>
        </w:tc>
        <w:tc>
          <w:tcPr>
            <w:tcW w:w="1172" w:type="pct"/>
            <w:vMerge w:val="restart"/>
            <w:noWrap w:val="0"/>
            <w:vAlign w:val="center"/>
          </w:tcPr>
          <w:p w14:paraId="7BD5125D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色差仪</w:t>
            </w:r>
          </w:p>
        </w:tc>
        <w:tc>
          <w:tcPr>
            <w:tcW w:w="1000" w:type="pct"/>
            <w:vMerge w:val="restart"/>
            <w:noWrap w:val="0"/>
            <w:vAlign w:val="center"/>
          </w:tcPr>
          <w:p w14:paraId="2C1E1DA1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SCI,D65/10°</w:t>
            </w:r>
          </w:p>
        </w:tc>
        <w:tc>
          <w:tcPr>
            <w:tcW w:w="943" w:type="pct"/>
            <w:noWrap w:val="0"/>
            <w:vAlign w:val="center"/>
          </w:tcPr>
          <w:p w14:paraId="7FE117C7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△E≤1</w:t>
            </w:r>
          </w:p>
          <w:p w14:paraId="0C4381A4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（与标准封样对比）</w:t>
            </w:r>
          </w:p>
        </w:tc>
        <w:tc>
          <w:tcPr>
            <w:tcW w:w="599" w:type="pct"/>
            <w:noWrap w:val="0"/>
            <w:vAlign w:val="center"/>
          </w:tcPr>
          <w:p w14:paraId="1AD2DC6F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522F2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427" w:type="pct"/>
            <w:vMerge w:val="continue"/>
            <w:noWrap w:val="0"/>
            <w:vAlign w:val="center"/>
          </w:tcPr>
          <w:p w14:paraId="3CF3CC5C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27" w:type="pct"/>
            <w:vMerge w:val="continue"/>
            <w:noWrap w:val="0"/>
            <w:vAlign w:val="center"/>
          </w:tcPr>
          <w:p w14:paraId="6E6C1932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27" w:type="pct"/>
            <w:noWrap w:val="0"/>
            <w:vAlign w:val="center"/>
          </w:tcPr>
          <w:p w14:paraId="1819607E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同批次</w:t>
            </w:r>
          </w:p>
        </w:tc>
        <w:tc>
          <w:tcPr>
            <w:tcW w:w="1172" w:type="pct"/>
            <w:vMerge w:val="continue"/>
            <w:noWrap w:val="0"/>
            <w:vAlign w:val="center"/>
          </w:tcPr>
          <w:p w14:paraId="7767959C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00" w:type="pct"/>
            <w:vMerge w:val="continue"/>
            <w:noWrap w:val="0"/>
            <w:vAlign w:val="center"/>
          </w:tcPr>
          <w:p w14:paraId="4EBB7C53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43" w:type="pct"/>
            <w:noWrap w:val="0"/>
            <w:vAlign w:val="center"/>
          </w:tcPr>
          <w:p w14:paraId="622CFBE2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△E≤0.5</w:t>
            </w:r>
          </w:p>
        </w:tc>
        <w:tc>
          <w:tcPr>
            <w:tcW w:w="599" w:type="pct"/>
            <w:noWrap w:val="0"/>
            <w:vAlign w:val="center"/>
          </w:tcPr>
          <w:p w14:paraId="683569A6">
            <w:pPr>
              <w:spacing w:line="440" w:lineRule="exact"/>
              <w:ind w:firstLine="359" w:firstLineChars="171"/>
              <w:rPr>
                <w:rFonts w:hint="default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-</w:t>
            </w:r>
          </w:p>
        </w:tc>
      </w:tr>
      <w:tr w14:paraId="42B4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7" w:type="pct"/>
            <w:noWrap w:val="0"/>
            <w:vAlign w:val="center"/>
          </w:tcPr>
          <w:p w14:paraId="6AF2FFC4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855" w:type="pct"/>
            <w:gridSpan w:val="2"/>
            <w:noWrap w:val="0"/>
            <w:vAlign w:val="center"/>
          </w:tcPr>
          <w:p w14:paraId="00E83328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限用物质含量（RoHS）</w:t>
            </w:r>
          </w:p>
        </w:tc>
        <w:tc>
          <w:tcPr>
            <w:tcW w:w="1172" w:type="pct"/>
            <w:noWrap w:val="0"/>
            <w:vAlign w:val="center"/>
          </w:tcPr>
          <w:p w14:paraId="5E94323B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参考IEC 62321</w:t>
            </w:r>
          </w:p>
        </w:tc>
        <w:tc>
          <w:tcPr>
            <w:tcW w:w="1000" w:type="pct"/>
            <w:noWrap w:val="0"/>
            <w:vAlign w:val="center"/>
          </w:tcPr>
          <w:p w14:paraId="6C0CE6ED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RoHS指令2011/65/EU和（EU） 2015/863</w:t>
            </w:r>
          </w:p>
        </w:tc>
        <w:tc>
          <w:tcPr>
            <w:tcW w:w="943" w:type="pct"/>
            <w:noWrap w:val="0"/>
            <w:vAlign w:val="center"/>
          </w:tcPr>
          <w:p w14:paraId="137F87C6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符合RoHS（2.0）10项</w:t>
            </w:r>
          </w:p>
        </w:tc>
        <w:tc>
          <w:tcPr>
            <w:tcW w:w="599" w:type="pct"/>
            <w:noWrap w:val="0"/>
            <w:vAlign w:val="center"/>
          </w:tcPr>
          <w:p w14:paraId="155D72E7">
            <w:pPr>
              <w:spacing w:line="440" w:lineRule="exact"/>
              <w:ind w:firstLine="359" w:firstLineChars="171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  <w:lang w:val="en-US" w:eastAsia="zh-CN"/>
              </w:rPr>
              <w:t>mg/kg</w:t>
            </w:r>
          </w:p>
        </w:tc>
      </w:tr>
    </w:tbl>
    <w:p w14:paraId="2333DD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F4D0F"/>
    <w:rsid w:val="1EBF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</w:style>
  <w:style w:type="table" w:styleId="4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2025-12-02T02:42:00Z</dcterms:created>
  <dc:creator>企业用户_725787393</dc:creator>
  <cp:lastModifiedBy>企业用户_725787393</cp:lastModifiedBy>
  <dcterms:modified xsi:type="dcterms:W3CDTF">2025-12-02T02:42:53Z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70E994C9DF2D430E996F533406658952_11</vt:lpwstr>
  </property>
  <property fmtid="{D5CDD505-2E9C-101B-9397-08002B2CF9AE}" pid="4" name="KSOTemplateDocerSaveRecord">
    <vt:lpwstr>eyJoZGlkIjoiOTlkY2M3MjJiMDc2OWE1ZjRhNDg5NDIzNThjNjNiOWEiLCJ1c2VySWQiOiIxNTc2MDY5Mjc4In0=</vt:lpwstr>
  </property>
</Properties>
</file>